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spacing w:line="328.8" w:lineRule="auto"/>
        <w:jc w:val="center"/>
        <w:rPr>
          <w:b w:val="1"/>
          <w:sz w:val="28"/>
          <w:szCs w:val="28"/>
        </w:rPr>
      </w:pPr>
      <w:r w:rsidDel="00000000" w:rsidR="00000000" w:rsidRPr="00000000">
        <w:rPr>
          <w:b w:val="1"/>
          <w:sz w:val="28"/>
          <w:szCs w:val="28"/>
          <w:rtl w:val="0"/>
        </w:rPr>
        <w:t xml:space="preserve">The Macallan elige a </w:t>
      </w:r>
      <w:r w:rsidDel="00000000" w:rsidR="00000000" w:rsidRPr="00000000">
        <w:rPr>
          <w:b w:val="1"/>
          <w:i w:val="1"/>
          <w:sz w:val="28"/>
          <w:szCs w:val="28"/>
          <w:rtl w:val="0"/>
        </w:rPr>
        <w:t xml:space="preserve">another</w:t>
      </w:r>
      <w:r w:rsidDel="00000000" w:rsidR="00000000" w:rsidRPr="00000000">
        <w:rPr>
          <w:b w:val="1"/>
          <w:sz w:val="28"/>
          <w:szCs w:val="28"/>
          <w:rtl w:val="0"/>
        </w:rPr>
        <w:t xml:space="preserve"> para comunicar su legado en México </w:t>
      </w:r>
    </w:p>
    <w:p w:rsidR="00000000" w:rsidDel="00000000" w:rsidP="00000000" w:rsidRDefault="00000000" w:rsidRPr="00000000" w14:paraId="00000005">
      <w:pPr>
        <w:spacing w:line="328.8" w:lineRule="auto"/>
        <w:jc w:val="center"/>
        <w:rPr>
          <w:b w:val="1"/>
        </w:rPr>
      </w:pPr>
      <w:r w:rsidDel="00000000" w:rsidR="00000000" w:rsidRPr="00000000">
        <w:rPr>
          <w:rtl w:val="0"/>
        </w:rPr>
      </w:r>
    </w:p>
    <w:p w:rsidR="00000000" w:rsidDel="00000000" w:rsidP="00000000" w:rsidRDefault="00000000" w:rsidRPr="00000000" w14:paraId="00000006">
      <w:pPr>
        <w:numPr>
          <w:ilvl w:val="0"/>
          <w:numId w:val="1"/>
        </w:numPr>
        <w:spacing w:line="328.8" w:lineRule="auto"/>
        <w:ind w:left="720" w:hanging="360"/>
        <w:jc w:val="center"/>
        <w:rPr>
          <w:i w:val="1"/>
          <w:u w:val="none"/>
        </w:rPr>
      </w:pPr>
      <w:r w:rsidDel="00000000" w:rsidR="00000000" w:rsidRPr="00000000">
        <w:rPr>
          <w:i w:val="1"/>
          <w:rtl w:val="0"/>
        </w:rPr>
        <w:t xml:space="preserve">La agencia ejecutará la estrategia de comunicación de la firma escocesa en nuestro país.</w:t>
      </w:r>
    </w:p>
    <w:p w:rsidR="00000000" w:rsidDel="00000000" w:rsidP="00000000" w:rsidRDefault="00000000" w:rsidRPr="00000000" w14:paraId="00000007">
      <w:pPr>
        <w:spacing w:line="328.8" w:lineRule="auto"/>
        <w:jc w:val="center"/>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02 de junio de 2022 — </w:t>
      </w:r>
      <w:r w:rsidDel="00000000" w:rsidR="00000000" w:rsidRPr="00000000">
        <w:rPr>
          <w:b w:val="1"/>
          <w:rtl w:val="0"/>
        </w:rPr>
        <w:t xml:space="preserve">The Macallan</w:t>
      </w:r>
      <w:r w:rsidDel="00000000" w:rsidR="00000000" w:rsidRPr="00000000">
        <w:rPr>
          <w:rtl w:val="0"/>
        </w:rPr>
        <w:t xml:space="preserve">, firma de whisky escocés de alta gama fundada en 1824, ha decidido ejecutar a través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su estrategia de comunicación en México.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Las actividades de comunicación incluirán relaciones públicas e </w:t>
      </w:r>
      <w:r w:rsidDel="00000000" w:rsidR="00000000" w:rsidRPr="00000000">
        <w:rPr>
          <w:i w:val="1"/>
          <w:rtl w:val="0"/>
        </w:rPr>
        <w:t xml:space="preserve">influencer marketing</w:t>
      </w:r>
      <w:r w:rsidDel="00000000" w:rsidR="00000000" w:rsidRPr="00000000">
        <w:rPr>
          <w:rtl w:val="0"/>
        </w:rPr>
        <w:t xml:space="preserve">,</w:t>
      </w:r>
      <w:r w:rsidDel="00000000" w:rsidR="00000000" w:rsidRPr="00000000">
        <w:rPr>
          <w:rtl w:val="0"/>
        </w:rPr>
        <w:t xml:space="preserve"> entre otras, y están concebidas bajo estrategias de alto nivel para mantener el liderazgo de la marca como líder en de los destilados de lujo en nuestro país.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w:t>
      </w:r>
      <w:r w:rsidDel="00000000" w:rsidR="00000000" w:rsidRPr="00000000">
        <w:rPr>
          <w:b w:val="1"/>
          <w:i w:val="1"/>
          <w:rtl w:val="0"/>
        </w:rPr>
        <w:t xml:space="preserve">The Macallan México</w:t>
      </w:r>
      <w:r w:rsidDel="00000000" w:rsidR="00000000" w:rsidRPr="00000000">
        <w:rPr>
          <w:i w:val="1"/>
          <w:rtl w:val="0"/>
        </w:rPr>
        <w:t xml:space="preserve"> está emocionado de comenzar esta colaboración para seguir ampliando el potencial de nuestro whisky en el país, estamos seguros que de la mano de nuestro nuevo partner: </w:t>
      </w:r>
      <w:hyperlink r:id="rId7">
        <w:r w:rsidDel="00000000" w:rsidR="00000000" w:rsidRPr="00000000">
          <w:rPr>
            <w:b w:val="1"/>
            <w:i w:val="1"/>
            <w:color w:val="1155cc"/>
            <w:u w:val="single"/>
            <w:rtl w:val="0"/>
          </w:rPr>
          <w:t xml:space="preserve">another</w:t>
        </w:r>
      </w:hyperlink>
      <w:r w:rsidDel="00000000" w:rsidR="00000000" w:rsidRPr="00000000">
        <w:rPr>
          <w:i w:val="1"/>
          <w:rtl w:val="0"/>
        </w:rPr>
        <w:t xml:space="preserve">, llegaremos y superaremos los objetivos trazados”, </w:t>
      </w:r>
      <w:r w:rsidDel="00000000" w:rsidR="00000000" w:rsidRPr="00000000">
        <w:rPr>
          <w:rtl w:val="0"/>
        </w:rPr>
        <w:t xml:space="preserve">dijo Juan Barbato</w:t>
      </w:r>
      <w:r w:rsidDel="00000000" w:rsidR="00000000" w:rsidRPr="00000000">
        <w:rPr>
          <w:i w:val="1"/>
          <w:rtl w:val="0"/>
        </w:rPr>
        <w:t xml:space="preserve">,</w:t>
      </w:r>
      <w:r w:rsidDel="00000000" w:rsidR="00000000" w:rsidRPr="00000000">
        <w:rPr>
          <w:b w:val="1"/>
          <w:rtl w:val="0"/>
        </w:rPr>
        <w:t xml:space="preserve"> </w:t>
      </w:r>
      <w:r w:rsidDel="00000000" w:rsidR="00000000" w:rsidRPr="00000000">
        <w:rPr>
          <w:b w:val="1"/>
          <w:i w:val="1"/>
          <w:rtl w:val="0"/>
        </w:rPr>
        <w:t xml:space="preserve">National Brand Ambassador</w:t>
      </w:r>
      <w:r w:rsidDel="00000000" w:rsidR="00000000" w:rsidRPr="00000000">
        <w:rPr>
          <w:b w:val="1"/>
          <w:rtl w:val="0"/>
        </w:rPr>
        <w:t xml:space="preserve"> </w:t>
      </w:r>
      <w:r w:rsidDel="00000000" w:rsidR="00000000" w:rsidRPr="00000000">
        <w:rPr>
          <w:rtl w:val="0"/>
        </w:rPr>
        <w:t xml:space="preserve">para </w:t>
      </w:r>
      <w:r w:rsidDel="00000000" w:rsidR="00000000" w:rsidRPr="00000000">
        <w:rPr>
          <w:b w:val="1"/>
          <w:rtl w:val="0"/>
        </w:rPr>
        <w:t xml:space="preserve">The Macallan México</w:t>
      </w: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The Macallan</w:t>
      </w:r>
      <w:r w:rsidDel="00000000" w:rsidR="00000000" w:rsidRPr="00000000">
        <w:rPr>
          <w:rtl w:val="0"/>
        </w:rPr>
        <w:t xml:space="preserve"> es conocido en todo el mundo por sus extraordinarios whiskys de malta. Su excelente calidad y carácter distintivo revelan la excelencia sin concesiones de la firma, desde que se estableció por Alexander Reid, en una meseta sobre el río Spey en el noreste de Escocia. En la actualidad, es el whisky más coleccionable del mundo, ya que cada botella cuenta con su propia y exclusiva historia que </w:t>
      </w:r>
      <w:r w:rsidDel="00000000" w:rsidR="00000000" w:rsidRPr="00000000">
        <w:rPr>
          <w:rtl w:val="0"/>
        </w:rPr>
        <w:t xml:space="preserve">contar</w:t>
      </w:r>
      <w:r w:rsidDel="00000000" w:rsidR="00000000" w:rsidRPr="00000000">
        <w:rPr>
          <w:rtl w:val="0"/>
        </w:rPr>
        <w:t xml:space="preserve"> acerca de la maestría necesaria para su elaboración.</w:t>
      </w:r>
      <w:r w:rsidDel="00000000" w:rsidR="00000000" w:rsidRPr="00000000">
        <w:rPr>
          <w:b w:val="1"/>
          <w:rtl w:val="0"/>
        </w:rPr>
        <w:t xml:space="preserve">The Macallan</w:t>
      </w:r>
      <w:r w:rsidDel="00000000" w:rsidR="00000000" w:rsidRPr="00000000">
        <w:rPr>
          <w:rtl w:val="0"/>
        </w:rPr>
        <w:t xml:space="preserve"> pertenece a Edrington, empresa situada en Escocia que desarrolla de marcas de licores ultra premium.</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w:t>
      </w:r>
      <w:r w:rsidDel="00000000" w:rsidR="00000000" w:rsidRPr="00000000">
        <w:rPr>
          <w:i w:val="1"/>
          <w:rtl w:val="0"/>
        </w:rPr>
        <w:t xml:space="preserve">Para </w:t>
      </w:r>
      <w:r w:rsidDel="00000000" w:rsidR="00000000" w:rsidRPr="00000000">
        <w:rPr>
          <w:b w:val="1"/>
          <w:i w:val="1"/>
          <w:rtl w:val="0"/>
        </w:rPr>
        <w:t xml:space="preserve">another</w:t>
      </w:r>
      <w:r w:rsidDel="00000000" w:rsidR="00000000" w:rsidRPr="00000000">
        <w:rPr>
          <w:i w:val="1"/>
          <w:rtl w:val="0"/>
        </w:rPr>
        <w:t xml:space="preserve"> es un gran logro trabajar en conjunto con </w:t>
      </w:r>
      <w:r w:rsidDel="00000000" w:rsidR="00000000" w:rsidRPr="00000000">
        <w:rPr>
          <w:b w:val="1"/>
          <w:i w:val="1"/>
          <w:rtl w:val="0"/>
        </w:rPr>
        <w:t xml:space="preserve">The Macallan</w:t>
      </w:r>
      <w:r w:rsidDel="00000000" w:rsidR="00000000" w:rsidRPr="00000000">
        <w:rPr>
          <w:i w:val="1"/>
          <w:rtl w:val="0"/>
        </w:rPr>
        <w:t xml:space="preserve">. Llevamos ya varios meses a nivel regional y, sin duda, esto simboliza que nuestra relación se ha hecho cada vez más sólida. Juntos crearemos nuevas estrategias para seguir impulsando la presencia de la marca en nuestro país y llevarla a nuevas audiencias</w:t>
      </w:r>
      <w:r w:rsidDel="00000000" w:rsidR="00000000" w:rsidRPr="00000000">
        <w:rPr>
          <w:i w:val="1"/>
          <w:rtl w:val="0"/>
        </w:rPr>
        <w:t xml:space="preserve">”, dijo </w:t>
      </w:r>
      <w:r w:rsidDel="00000000" w:rsidR="00000000" w:rsidRPr="00000000">
        <w:rPr>
          <w:rtl w:val="0"/>
        </w:rPr>
        <w:t xml:space="preserve">Jaspar Eyears, CEO de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Actualmente, </w:t>
      </w:r>
      <w:hyperlink r:id="rId9">
        <w:r w:rsidDel="00000000" w:rsidR="00000000" w:rsidRPr="00000000">
          <w:rPr>
            <w:b w:val="1"/>
            <w:i w:val="1"/>
            <w:color w:val="1155cc"/>
            <w:u w:val="single"/>
            <w:rtl w:val="0"/>
          </w:rPr>
          <w:t xml:space="preserve">another</w:t>
        </w:r>
      </w:hyperlink>
      <w:r w:rsidDel="00000000" w:rsidR="00000000" w:rsidRPr="00000000">
        <w:rPr>
          <w:rtl w:val="0"/>
        </w:rPr>
        <w:t xml:space="preserve"> también realiza la comunicación estratégica para </w:t>
      </w:r>
      <w:r w:rsidDel="00000000" w:rsidR="00000000" w:rsidRPr="00000000">
        <w:rPr>
          <w:b w:val="1"/>
          <w:rtl w:val="0"/>
        </w:rPr>
        <w:t xml:space="preserve">The Macallan</w:t>
      </w:r>
      <w:r w:rsidDel="00000000" w:rsidR="00000000" w:rsidRPr="00000000">
        <w:rPr>
          <w:rtl w:val="0"/>
        </w:rPr>
        <w:t xml:space="preserve"> en Brasil, Colombia, Panamá, Puerto Rico, Argentina y el Caribe.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4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Sobre The Macallan</w:t>
      </w:r>
    </w:p>
    <w:p w:rsidR="00000000" w:rsidDel="00000000" w:rsidP="00000000" w:rsidRDefault="00000000" w:rsidRPr="00000000" w14:paraId="00000016">
      <w:pPr>
        <w:spacing w:line="240" w:lineRule="auto"/>
        <w:jc w:val="both"/>
        <w:rPr>
          <w:rFonts w:ascii="Garamond" w:cs="Garamond" w:eastAsia="Garamond" w:hAnsi="Garamond"/>
          <w:b w:val="1"/>
        </w:rPr>
      </w:pPr>
      <w:r w:rsidDel="00000000" w:rsidR="00000000" w:rsidRPr="00000000">
        <w:rPr>
          <w:rtl w:val="0"/>
        </w:rPr>
      </w:r>
    </w:p>
    <w:p w:rsidR="00000000" w:rsidDel="00000000" w:rsidP="00000000" w:rsidRDefault="00000000" w:rsidRPr="00000000" w14:paraId="00000017">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Fundado en 1824, </w:t>
      </w:r>
      <w:hyperlink r:id="rId10">
        <w:r w:rsidDel="00000000" w:rsidR="00000000" w:rsidRPr="00000000">
          <w:rPr>
            <w:rFonts w:ascii="Garamond" w:cs="Garamond" w:eastAsia="Garamond" w:hAnsi="Garamond"/>
            <w:u w:val="single"/>
            <w:rtl w:val="0"/>
          </w:rPr>
          <w:t xml:space="preserve">The Macallan</w:t>
        </w:r>
      </w:hyperlink>
      <w:r w:rsidDel="00000000" w:rsidR="00000000" w:rsidRPr="00000000">
        <w:rPr>
          <w:rFonts w:ascii="Garamond" w:cs="Garamond" w:eastAsia="Garamond" w:hAnsi="Garamond"/>
          <w:rtl w:val="0"/>
        </w:rPr>
        <w:t xml:space="preserve"> es conocido en todo el mundo por sus extraordinarios whiskys de malta. Su excelente calidad y carácter distintivo revelan la excelencia sin concesiones perseguida por The Macallan desde que fue establecido por Alexander Reid, en una meseta sobre el río Spey en el noreste de Escocia.</w:t>
      </w:r>
    </w:p>
    <w:p w:rsidR="00000000" w:rsidDel="00000000" w:rsidP="00000000" w:rsidRDefault="00000000" w:rsidRPr="00000000" w14:paraId="00000018">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9">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En 2018, The Macallan abrió un nuevo capítulo en su historia con el lanzamiento de su premiada destilería Speyside. Diseñado por arquitectos de renombre internacional para promover la sostenibilidad, el edificio se inspira en las antiguas colinas escocesas circundantes. Se encuentra cerca de Easter Elchies House, el Highland Manor construido en 1700, que es el hogar espiritual de The Macallan y sigue siendo el corazón de la hermosa finca de 485 acres de The Macallan.</w:t>
      </w:r>
    </w:p>
    <w:p w:rsidR="00000000" w:rsidDel="00000000" w:rsidP="00000000" w:rsidRDefault="00000000" w:rsidRPr="00000000" w14:paraId="0000001A">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B">
      <w:pPr>
        <w:spacing w:line="240" w:lineRule="auto"/>
        <w:jc w:val="both"/>
        <w:rPr>
          <w:rFonts w:ascii="Garamond" w:cs="Garamond" w:eastAsia="Garamond" w:hAnsi="Garamond"/>
          <w:b w:val="1"/>
          <w:highlight w:val="white"/>
        </w:rPr>
      </w:pPr>
      <w:r w:rsidDel="00000000" w:rsidR="00000000" w:rsidRPr="00000000">
        <w:rPr>
          <w:rFonts w:ascii="Garamond" w:cs="Garamond" w:eastAsia="Garamond" w:hAnsi="Garamond"/>
          <w:rtl w:val="0"/>
        </w:rPr>
        <w:t xml:space="preserve">Elaborado sin concesiones. Saboree The Macallan con responsabilidad.</w:t>
      </w:r>
      <w:r w:rsidDel="00000000" w:rsidR="00000000" w:rsidRPr="00000000">
        <w:rPr>
          <w:rtl w:val="0"/>
        </w:rPr>
      </w:r>
    </w:p>
    <w:p w:rsidR="00000000" w:rsidDel="00000000" w:rsidP="00000000" w:rsidRDefault="00000000" w:rsidRPr="00000000" w14:paraId="0000001C">
      <w:pPr>
        <w:spacing w:line="240" w:lineRule="auto"/>
        <w:jc w:val="both"/>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D">
      <w:pPr>
        <w:widowControl w:val="0"/>
        <w:spacing w:line="240" w:lineRule="auto"/>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Contactos clave another </w:t>
      </w:r>
    </w:p>
    <w:p w:rsidR="00000000" w:rsidDel="00000000" w:rsidP="00000000" w:rsidRDefault="00000000" w:rsidRPr="00000000" w14:paraId="0000001E">
      <w:pPr>
        <w:widowControl w:val="0"/>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another</w:t>
      </w:r>
    </w:p>
    <w:p w:rsidR="00000000" w:rsidDel="00000000" w:rsidP="00000000" w:rsidRDefault="00000000" w:rsidRPr="00000000" w14:paraId="00000020">
      <w:pPr>
        <w:widowControl w:val="0"/>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Paulina Villaseñor | PR Manager</w:t>
      </w:r>
    </w:p>
    <w:p w:rsidR="00000000" w:rsidDel="00000000" w:rsidP="00000000" w:rsidRDefault="00000000" w:rsidRPr="00000000" w14:paraId="00000021">
      <w:pPr>
        <w:widowControl w:val="0"/>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paulina.villaseñor@another.co</w:t>
      </w:r>
    </w:p>
    <w:p w:rsidR="00000000" w:rsidDel="00000000" w:rsidP="00000000" w:rsidRDefault="00000000" w:rsidRPr="00000000" w14:paraId="00000022">
      <w:pPr>
        <w:widowControl w:val="0"/>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another</w:t>
      </w:r>
    </w:p>
    <w:p w:rsidR="00000000" w:rsidDel="00000000" w:rsidP="00000000" w:rsidRDefault="00000000" w:rsidRPr="00000000" w14:paraId="00000025">
      <w:pPr>
        <w:widowControl w:val="0"/>
        <w:spacing w:line="240" w:lineRule="auto"/>
        <w:jc w:val="both"/>
        <w:rPr/>
      </w:pPr>
      <w:r w:rsidDel="00000000" w:rsidR="00000000" w:rsidRPr="00000000">
        <w:rPr>
          <w:rFonts w:ascii="Garamond" w:cs="Garamond" w:eastAsia="Garamond" w:hAnsi="Garamond"/>
          <w:rtl w:val="0"/>
        </w:rPr>
        <w:t xml:space="preserve">Adrián Ávila | </w:t>
      </w:r>
      <w:r w:rsidDel="00000000" w:rsidR="00000000" w:rsidRPr="00000000">
        <w:rPr>
          <w:rFonts w:ascii="Garamond" w:cs="Garamond" w:eastAsia="Garamond" w:hAnsi="Garamond"/>
          <w:highlight w:val="white"/>
          <w:rtl w:val="0"/>
        </w:rPr>
        <w:t xml:space="preserve">PR Expert</w:t>
        <w:br w:type="textWrapping"/>
        <w:t xml:space="preserve">(55) 6934 6338 | adrian.avila@another.co</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2152650</wp:posOffset>
          </wp:positionH>
          <wp:positionV relativeFrom="paragraph">
            <wp:posOffset>-342899</wp:posOffset>
          </wp:positionV>
          <wp:extent cx="1223963" cy="89835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6629" l="-16262" r="-14878" t="-19183"/>
                  <a:stretch>
                    <a:fillRect/>
                  </a:stretch>
                </pic:blipFill>
                <pic:spPr>
                  <a:xfrm>
                    <a:off x="0" y="0"/>
                    <a:ext cx="1223963" cy="89835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hemacallan.com/" TargetMode="External"/><Relationship Id="rId9" Type="http://schemas.openxmlformats.org/officeDocument/2006/relationships/hyperlink" Target="https://another.co/?utm_source=PR+The+Macallan+M%C3%A9xico&amp;utm_medium=The+Macallan+M%C3%A9xico&amp;utm_campaign=The+Macallan+M%C3%A9xico&amp;utm_id=Mexico" TargetMode="External"/><Relationship Id="rId5" Type="http://schemas.openxmlformats.org/officeDocument/2006/relationships/styles" Target="styles.xml"/><Relationship Id="rId6" Type="http://schemas.openxmlformats.org/officeDocument/2006/relationships/hyperlink" Target="https://another.co/?utm_source=PR+The+Macallan+M%C3%A9xico&amp;utm_medium=The+Macallan+M%C3%A9xico&amp;utm_campaign=The+Macallan+M%C3%A9xico&amp;utm_id=Mexico" TargetMode="External"/><Relationship Id="rId7" Type="http://schemas.openxmlformats.org/officeDocument/2006/relationships/hyperlink" Target="https://another.co/?utm_source=PR+The+Macallan+M%C3%A9xico&amp;utm_medium=The+Macallan+M%C3%A9xico&amp;utm_campaign=The+Macallan+M%C3%A9xico&amp;utm_id=Mexico" TargetMode="External"/><Relationship Id="rId8" Type="http://schemas.openxmlformats.org/officeDocument/2006/relationships/hyperlink" Target="https://another.co/?utm_source=PR+The+Macallan+M%C3%A9xico&amp;utm_medium=The+Macallan+M%C3%A9xico&amp;utm_campaign=The+Macallan+M%C3%A9xico&amp;utm_id=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